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西南医科大学202</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年第二学士学位招生</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根据《教育部办公厅关于在普通高校继续开展第二学士学位教育的通知》（教高厅函〔2020〕9号）文件精神，为培养更多高素质应用复合型人才，增强学生就业创业能力，经学校研究决定202</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4</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年继续开展第二学士学位招生工作。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一、招生专业与计划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我校202</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4</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年第二学士学位招生专业为预防医学和康复治疗学，招生计划120人。招生专业及计划分布如下。</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5"/>
        <w:gridCol w:w="2265"/>
        <w:gridCol w:w="1633"/>
        <w:gridCol w:w="2268"/>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color w:val="000000" w:themeColor="text1"/>
                <w:sz w:val="18"/>
                <w:szCs w:val="1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序号</w:t>
            </w:r>
          </w:p>
        </w:tc>
        <w:tc>
          <w:tcPr>
            <w:tcW w:w="2265"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招生专业</w:t>
            </w:r>
          </w:p>
        </w:tc>
        <w:tc>
          <w:tcPr>
            <w:tcW w:w="1633"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color w:val="000000" w:themeColor="text1"/>
                <w:sz w:val="18"/>
                <w:szCs w:val="1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招生计划</w:t>
            </w:r>
          </w:p>
        </w:tc>
        <w:tc>
          <w:tcPr>
            <w:tcW w:w="2268"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color w:val="000000" w:themeColor="text1"/>
                <w:sz w:val="18"/>
                <w:szCs w:val="1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学位授予门类</w:t>
            </w:r>
          </w:p>
        </w:tc>
        <w:tc>
          <w:tcPr>
            <w:tcW w:w="1774"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highlight w:val="none"/>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1</w:t>
            </w:r>
          </w:p>
        </w:tc>
        <w:tc>
          <w:tcPr>
            <w:tcW w:w="2265"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预防医学</w:t>
            </w:r>
          </w:p>
        </w:tc>
        <w:tc>
          <w:tcPr>
            <w:tcW w:w="1633"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baseline"/>
              <w:rPr>
                <w:color w:val="000000" w:themeColor="text1"/>
                <w:sz w:val="21"/>
                <w:szCs w:val="21"/>
                <w:highlight w:val="none"/>
                <w14:textFill>
                  <w14:solidFill>
                    <w14:schemeClr w14:val="tx1"/>
                  </w14:solidFill>
                </w14:textFill>
              </w:rPr>
            </w:pPr>
            <w:r>
              <w:rPr>
                <w:rFonts w:hint="default" w:ascii="Times New Roman" w:hAnsi="Times New Roman" w:eastAsia="Tahoma" w:cs="Times New Roman"/>
                <w:i w:val="0"/>
                <w:iCs w:val="0"/>
                <w:caps w:val="0"/>
                <w:color w:val="000000" w:themeColor="text1"/>
                <w:spacing w:val="0"/>
                <w:kern w:val="0"/>
                <w:sz w:val="21"/>
                <w:szCs w:val="21"/>
                <w:highlight w:val="none"/>
                <w:vertAlign w:val="baseline"/>
                <w:lang w:val="en-US" w:eastAsia="zh-CN" w:bidi="ar"/>
                <w14:textFill>
                  <w14:solidFill>
                    <w14:schemeClr w14:val="tx1"/>
                  </w14:solidFill>
                </w14:textFill>
              </w:rPr>
              <w:t>6</w:t>
            </w:r>
            <w:r>
              <w:rPr>
                <w:rFonts w:hint="default" w:ascii="Times New Roman" w:hAnsi="Times New Roman" w:eastAsia="仿宋" w:cs="Times New Roman"/>
                <w:i w:val="0"/>
                <w:iCs w:val="0"/>
                <w:caps w:val="0"/>
                <w:color w:val="000000" w:themeColor="text1"/>
                <w:spacing w:val="0"/>
                <w:kern w:val="0"/>
                <w:sz w:val="21"/>
                <w:szCs w:val="21"/>
                <w:highlight w:val="none"/>
                <w:vertAlign w:val="baseline"/>
                <w:lang w:val="en-US" w:eastAsia="zh-CN" w:bidi="ar"/>
                <w14:textFill>
                  <w14:solidFill>
                    <w14:schemeClr w14:val="tx1"/>
                  </w14:solidFill>
                </w14:textFill>
              </w:rPr>
              <w:t>0</w:t>
            </w:r>
            <w:r>
              <w:rPr>
                <w:rFonts w:hint="eastAsia" w:ascii="Times New Roman" w:hAnsi="Times New Roman" w:eastAsia="仿宋" w:cs="Times New Roman"/>
                <w:i w:val="0"/>
                <w:iCs w:val="0"/>
                <w:caps w:val="0"/>
                <w:color w:val="000000" w:themeColor="text1"/>
                <w:spacing w:val="0"/>
                <w:kern w:val="0"/>
                <w:sz w:val="21"/>
                <w:szCs w:val="21"/>
                <w:highlight w:val="none"/>
                <w:vertAlign w:val="baseline"/>
                <w:lang w:val="en-US" w:eastAsia="zh-CN" w:bidi="ar"/>
                <w14:textFill>
                  <w14:solidFill>
                    <w14:schemeClr w14:val="tx1"/>
                  </w14:solidFill>
                </w14:textFill>
              </w:rPr>
              <w:t>（其中：往届生20人，应届生40人）</w:t>
            </w:r>
          </w:p>
        </w:tc>
        <w:tc>
          <w:tcPr>
            <w:tcW w:w="2268"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医学</w:t>
            </w:r>
          </w:p>
        </w:tc>
        <w:tc>
          <w:tcPr>
            <w:tcW w:w="1774"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二年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highlight w:val="none"/>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2</w:t>
            </w:r>
          </w:p>
        </w:tc>
        <w:tc>
          <w:tcPr>
            <w:tcW w:w="2265"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康复治疗学</w:t>
            </w:r>
          </w:p>
        </w:tc>
        <w:tc>
          <w:tcPr>
            <w:tcW w:w="1633"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baseline"/>
              <w:rPr>
                <w:color w:val="000000" w:themeColor="text1"/>
                <w:sz w:val="21"/>
                <w:szCs w:val="21"/>
                <w:highlight w:val="none"/>
                <w14:textFill>
                  <w14:solidFill>
                    <w14:schemeClr w14:val="tx1"/>
                  </w14:solidFill>
                </w14:textFill>
              </w:rPr>
            </w:pPr>
            <w:r>
              <w:rPr>
                <w:rFonts w:hint="default" w:ascii="Times New Roman" w:hAnsi="Times New Roman" w:eastAsia="Tahoma" w:cs="Times New Roman"/>
                <w:i w:val="0"/>
                <w:iCs w:val="0"/>
                <w:caps w:val="0"/>
                <w:color w:val="000000" w:themeColor="text1"/>
                <w:spacing w:val="0"/>
                <w:kern w:val="0"/>
                <w:sz w:val="21"/>
                <w:szCs w:val="21"/>
                <w:highlight w:val="none"/>
                <w:vertAlign w:val="baseline"/>
                <w:lang w:val="en-US" w:eastAsia="zh-CN" w:bidi="ar"/>
                <w14:textFill>
                  <w14:solidFill>
                    <w14:schemeClr w14:val="tx1"/>
                  </w14:solidFill>
                </w14:textFill>
              </w:rPr>
              <w:t>6</w:t>
            </w:r>
            <w:r>
              <w:rPr>
                <w:rFonts w:hint="default" w:ascii="Times New Roman" w:hAnsi="Times New Roman" w:eastAsia="仿宋" w:cs="Times New Roman"/>
                <w:i w:val="0"/>
                <w:iCs w:val="0"/>
                <w:caps w:val="0"/>
                <w:color w:val="000000" w:themeColor="text1"/>
                <w:spacing w:val="0"/>
                <w:kern w:val="0"/>
                <w:sz w:val="21"/>
                <w:szCs w:val="21"/>
                <w:highlight w:val="none"/>
                <w:vertAlign w:val="baseline"/>
                <w:lang w:val="en-US" w:eastAsia="zh-CN" w:bidi="ar"/>
                <w14:textFill>
                  <w14:solidFill>
                    <w14:schemeClr w14:val="tx1"/>
                  </w14:solidFill>
                </w14:textFill>
              </w:rPr>
              <w:t>0</w:t>
            </w:r>
            <w:r>
              <w:rPr>
                <w:rFonts w:hint="eastAsia" w:ascii="Times New Roman" w:hAnsi="Times New Roman" w:eastAsia="仿宋" w:cs="Times New Roman"/>
                <w:i w:val="0"/>
                <w:iCs w:val="0"/>
                <w:caps w:val="0"/>
                <w:color w:val="000000" w:themeColor="text1"/>
                <w:spacing w:val="0"/>
                <w:kern w:val="0"/>
                <w:sz w:val="21"/>
                <w:szCs w:val="21"/>
                <w:highlight w:val="none"/>
                <w:vertAlign w:val="baseline"/>
                <w:lang w:val="en-US" w:eastAsia="zh-CN" w:bidi="ar"/>
                <w14:textFill>
                  <w14:solidFill>
                    <w14:schemeClr w14:val="tx1"/>
                  </w14:solidFill>
                </w14:textFill>
              </w:rPr>
              <w:t>（其中：往届生20人，应届生40人）</w:t>
            </w:r>
          </w:p>
        </w:tc>
        <w:tc>
          <w:tcPr>
            <w:tcW w:w="2268"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理学</w:t>
            </w:r>
          </w:p>
        </w:tc>
        <w:tc>
          <w:tcPr>
            <w:tcW w:w="1774"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二年</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highlight w:val="none"/>
          <w:shd w:val="clear" w:fill="FFFFFF"/>
          <w:vertAlign w:val="baseli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若往届生或应届生招生计划未完成，则剩余计划可统筹调剂。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二、招生对象与报名条件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楷体" w:hAnsi="楷体" w:eastAsia="楷体" w:cs="楷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（一）招生对象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1.西南医科大学20</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21</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-202</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3</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届获得学士学位且目前未就业的往届生</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（以下简称往届生）。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 w:hAnsi="仿宋" w:eastAsia="仿宋" w:cs="仿宋"/>
          <w:i w:val="0"/>
          <w:iCs w:val="0"/>
          <w:caps w:val="0"/>
          <w:color w:val="000000" w:themeColor="text1"/>
          <w:spacing w:val="0"/>
          <w:kern w:val="0"/>
          <w:sz w:val="32"/>
          <w:szCs w:val="32"/>
          <w:highlight w:val="yellow"/>
          <w:vertAlign w:val="baseline"/>
          <w:lang w:val="en-US" w:eastAsia="zh-CN" w:bidi="ar"/>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2.西南医科大学202</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4</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届获得学士学位的应届本科毕业生</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（以下简称应届生）。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（二）报名条件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1.热爱祖国，拥护中国共产党的领导，思想品德合格，身心健康，遵纪守法。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2.获得本科毕业证书和学士学位证书并在中国高等教育学生信息网注册。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kern w:val="0"/>
          <w:sz w:val="32"/>
          <w:szCs w:val="32"/>
          <w:highlight w:val="yellow"/>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3.体检标准按教育部、卫生部、中国残疾人联合会印发的《普通高等学校招生体检工作指导意见》（教学〔2003〕3号）和《西南医科大学2024年全日制普通本科招生章程》等有关规定执行。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4</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.报考专业须与原本科专业分属不同学科门类；或属于同一学科门类但不属于同一本科专业类。具体专业所属的学科门类、本科专业类可登录教育部网站（</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fldChar w:fldCharType="begin"/>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instrText xml:space="preserve"> HYPERLINK "http://www.moe.gov.cn/" </w:instrTex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fldChar w:fldCharType="separate"/>
      </w:r>
      <w:r>
        <w:rPr>
          <w:rStyle w:val="6"/>
          <w:rFonts w:hint="default" w:ascii="Times New Roman" w:hAnsi="Times New Roman" w:eastAsia="方正仿宋简体" w:cs="Times New Roman"/>
          <w:i w:val="0"/>
          <w:iCs w:val="0"/>
          <w:caps w:val="0"/>
          <w:color w:val="000000" w:themeColor="text1"/>
          <w:spacing w:val="0"/>
          <w:sz w:val="32"/>
          <w:szCs w:val="32"/>
          <w:shd w:val="clear" w:fill="FFFFFF"/>
          <w:vertAlign w:val="baseline"/>
          <w14:textFill>
            <w14:solidFill>
              <w14:schemeClr w14:val="tx1"/>
            </w14:solidFill>
          </w14:textFill>
        </w:rPr>
        <w:t>www.moe.gov.cn</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fldChar w:fldCharType="end"/>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）进行查询。其中，报考预防医学的第一学士学位专业有限制，康复治疗学专业不限（见下表）。</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9"/>
        <w:gridCol w:w="2028"/>
        <w:gridCol w:w="6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8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序号</w:t>
            </w:r>
          </w:p>
        </w:tc>
        <w:tc>
          <w:tcPr>
            <w:tcW w:w="2055"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招生专业</w:t>
            </w:r>
          </w:p>
        </w:tc>
        <w:tc>
          <w:tcPr>
            <w:tcW w:w="6237"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第一学士学位专业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85"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vertAlign w:val="baseline"/>
                <w:lang w:val="en-US" w:eastAsia="zh-CN" w:bidi="ar"/>
                <w14:textFill>
                  <w14:solidFill>
                    <w14:schemeClr w14:val="tx1"/>
                  </w14:solidFill>
                </w14:textFill>
              </w:rPr>
              <w:t>1</w:t>
            </w:r>
          </w:p>
        </w:tc>
        <w:tc>
          <w:tcPr>
            <w:tcW w:w="2055"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预防医学</w:t>
            </w:r>
          </w:p>
        </w:tc>
        <w:tc>
          <w:tcPr>
            <w:tcW w:w="6237"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限基础医学类、医学技术类、药学类、护理类等医学类专业或者近医类专业（具体包括临床医学、中医学、口腔医学、麻醉学、护理学、药学、医学检验技术、医学影像学、中西医临床医学、基础医学、公共事业管理、康复治疗学、临床药学、中药学、医学影像技术、食品卫生与营养学、卫生检验与检疫、儿科学、健康服务与管理、精神医学专业）</w:t>
            </w: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85"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vertAlign w:val="baseline"/>
                <w:lang w:val="en-US" w:eastAsia="zh-CN" w:bidi="ar"/>
                <w14:textFill>
                  <w14:solidFill>
                    <w14:schemeClr w14:val="tx1"/>
                  </w14:solidFill>
                </w14:textFill>
              </w:rPr>
              <w:t>2</w:t>
            </w:r>
          </w:p>
        </w:tc>
        <w:tc>
          <w:tcPr>
            <w:tcW w:w="2055"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康复治疗学</w:t>
            </w:r>
          </w:p>
        </w:tc>
        <w:tc>
          <w:tcPr>
            <w:tcW w:w="6237"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专业不限</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三、网上报名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楷体" w:hAnsi="楷体" w:eastAsia="楷体" w:cs="楷体"/>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vertAlign w:val="baseline"/>
          <w:lang w:val="en-US" w:eastAsia="zh-CN"/>
          <w14:textFill>
            <w14:solidFill>
              <w14:schemeClr w14:val="tx1"/>
            </w14:solidFill>
          </w14:textFill>
        </w:rPr>
        <w:t>一</w:t>
      </w: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vertAlign w:val="baseline"/>
          <w:lang w:val="en-US" w:eastAsia="zh-CN"/>
          <w14:textFill>
            <w14:solidFill>
              <w14:schemeClr w14:val="tx1"/>
            </w14:solidFill>
          </w14:textFill>
        </w:rPr>
        <w:t>报名时间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5月</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22</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日-5月</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28</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楷体" w:hAnsi="楷体" w:eastAsia="楷体" w:cs="楷体"/>
          <w:i w:val="0"/>
          <w:iCs w:val="0"/>
          <w:caps w:val="0"/>
          <w:color w:val="000000" w:themeColor="text1"/>
          <w:spacing w:val="0"/>
          <w:sz w:val="32"/>
          <w:szCs w:val="32"/>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vertAlign w:val="baseline"/>
          <w:lang w:val="en-US" w:eastAsia="zh-CN"/>
          <w14:textFill>
            <w14:solidFill>
              <w14:schemeClr w14:val="tx1"/>
            </w14:solidFill>
          </w14:textFill>
        </w:rPr>
        <w:t>二</w:t>
      </w:r>
      <w:r>
        <w:rPr>
          <w:rFonts w:hint="eastAsia" w:ascii="楷体" w:hAnsi="楷体" w:eastAsia="楷体" w:cs="楷体"/>
          <w:i w:val="0"/>
          <w:iCs w:val="0"/>
          <w:caps w:val="0"/>
          <w:color w:val="000000" w:themeColor="text1"/>
          <w:spacing w:val="0"/>
          <w:sz w:val="32"/>
          <w:szCs w:val="32"/>
          <w:shd w:val="clear" w:fill="FFFFFF"/>
          <w:vertAlign w:val="baseline"/>
          <w14:textFill>
            <w14:solidFill>
              <w14:schemeClr w14:val="tx1"/>
            </w14:solidFill>
          </w14:textFill>
        </w:rPr>
        <w:t>）报名</w:t>
      </w:r>
      <w:r>
        <w:rPr>
          <w:rFonts w:hint="eastAsia" w:ascii="楷体" w:hAnsi="楷体" w:eastAsia="楷体" w:cs="楷体"/>
          <w:i w:val="0"/>
          <w:iCs w:val="0"/>
          <w:caps w:val="0"/>
          <w:color w:val="000000" w:themeColor="text1"/>
          <w:spacing w:val="0"/>
          <w:sz w:val="32"/>
          <w:szCs w:val="32"/>
          <w:shd w:val="clear" w:fill="FFFFFF"/>
          <w:vertAlign w:val="baseline"/>
          <w:lang w:val="en-US" w:eastAsia="zh-CN"/>
          <w14:textFill>
            <w14:solidFill>
              <w14:schemeClr w14:val="tx1"/>
            </w14:solidFill>
          </w14:textFill>
        </w:rPr>
        <w:t>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符合报名条件的学生，通过西南医科大学学工一体化平台（http://xsc.swmu.edu.cn/）登录第二学士学位报名系统。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楷体" w:hAnsi="楷体" w:eastAsia="楷体" w:cs="楷体"/>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vertAlign w:val="baseline"/>
          <w:lang w:val="en-US" w:eastAsia="zh-CN"/>
          <w14:textFill>
            <w14:solidFill>
              <w14:schemeClr w14:val="tx1"/>
            </w14:solidFill>
          </w14:textFill>
        </w:rPr>
        <w:t>具体要求如下：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 w:hAnsi="仿宋" w:eastAsia="仿宋" w:cs="仿宋"/>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vertAlign w:val="baseline"/>
          <w:lang w:val="en-US" w:eastAsia="zh-CN"/>
          <w14:textFill>
            <w14:solidFill>
              <w14:schemeClr w14:val="tx1"/>
            </w14:solidFill>
          </w14:textFill>
        </w:rPr>
        <w:t>1.填写报名信息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进入报名系统后，根据系统要求，认真、如实、完整、准确填写各项相关信息，原则上报名信息提交后不得更改个人信息。在填报专业志愿信息时，每名考生可以填报两个专业志愿，并选择是否服从专业调剂，且网上报名信息提交后不得变更专业志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Times New Roman" w:hAnsi="Times New Roman" w:eastAsia="方正仿宋简体" w:cs="Times New Roman"/>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sz w:val="32"/>
          <w:szCs w:val="32"/>
          <w:shd w:val="clear" w:fill="FFFFFF"/>
          <w:vertAlign w:val="baseline"/>
          <w:lang w:val="en-US" w:eastAsia="zh-CN"/>
          <w14:textFill>
            <w14:solidFill>
              <w14:schemeClr w14:val="tx1"/>
            </w14:solidFill>
          </w14:textFill>
        </w:rPr>
        <w:t>2.上传报名材料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（1）填写纸质版《西南医科大学2024年第二学士学位报名诚信承诺书》（附件）签字确认后，拍照上传报名系统。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（2）考生本人一寸证件照（JPG格式）。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四、资格审查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2"/>
          <w:szCs w:val="32"/>
          <w:shd w:val="clear" w:fill="FFFFFF"/>
          <w:vertAlign w:val="baseline"/>
          <w14:textFill>
            <w14:solidFill>
              <w14:schemeClr w14:val="tx1"/>
            </w14:solidFill>
          </w14:textFill>
        </w:rPr>
        <w:t>学校将根据教育部有关规定及报名条件审核考生报名资格和报名材料</w:t>
      </w:r>
      <w:r>
        <w:rPr>
          <w:rFonts w:hint="eastAsia" w:ascii="方正仿宋简体" w:hAnsi="方正仿宋简体" w:eastAsia="方正仿宋简体" w:cs="方正仿宋简体"/>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2"/>
          <w:szCs w:val="32"/>
          <w:shd w:val="clear" w:fill="FFFFFF"/>
          <w:vertAlign w:val="baseline"/>
          <w:lang w:val="en-US" w:eastAsia="zh-CN"/>
          <w14:textFill>
            <w14:solidFill>
              <w14:schemeClr w14:val="tx1"/>
            </w14:solidFill>
          </w14:textFill>
        </w:rPr>
        <w:t>报名考生登录报名系统查看审核情况</w:t>
      </w:r>
      <w:r>
        <w:rPr>
          <w:rFonts w:hint="eastAsia" w:ascii="方正仿宋简体" w:hAnsi="方正仿宋简体" w:eastAsia="方正仿宋简体" w:cs="方正仿宋简体"/>
          <w:i w:val="0"/>
          <w:iCs w:val="0"/>
          <w:caps w:val="0"/>
          <w:color w:val="000000" w:themeColor="text1"/>
          <w:spacing w:val="0"/>
          <w:sz w:val="32"/>
          <w:szCs w:val="32"/>
          <w:shd w:val="clear" w:fill="FFFFFF"/>
          <w:vertAlign w:val="baseline"/>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五、录取与入学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（一）录取规则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highlight w:val="none"/>
          <w:lang w:val="en-US"/>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t>通过资格审查的学生，按照“成绩优先，遵循志愿”原则，依据学生在校期间必修课平均学分绩点排序，然后分类别从高到低依次录取。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学校将于202</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4</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年</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6</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月</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底</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在学校</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学工一体化平台</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公示拟录取学生名单，公示无异议后，发放《录取通知书》。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楷体" w:hAnsi="楷体" w:eastAsia="楷体" w:cs="楷体"/>
          <w:i w:val="0"/>
          <w:iCs w:val="0"/>
          <w:caps w:val="0"/>
          <w:color w:val="000000" w:themeColor="text1"/>
          <w:spacing w:val="0"/>
          <w:sz w:val="32"/>
          <w:szCs w:val="32"/>
          <w:lang w:val="en-US"/>
          <w14:textFill>
            <w14:solidFill>
              <w14:schemeClr w14:val="tx1"/>
            </w14:solidFill>
          </w14:textFill>
        </w:rPr>
      </w:pPr>
      <w:r>
        <w:rPr>
          <w:rFonts w:hint="eastAsia" w:ascii="楷体" w:hAnsi="楷体" w:eastAsia="楷体" w:cs="楷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（二）入学报到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1.入学报到时须携带以下材料原件到相关院系报到并进行现场核验：本人签字确认的《报名表》（附件1）原件、《录取通知书》原件、二代居民身份证原件、本科毕业证书、学士学位证书原件。报到时无法提供本科毕业证书、学士学位证书的，取消其入学资格。学生报到时因具有其他高等教育在读学籍而无法在学信网注册我校学籍者，视为放弃入学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2.第二学士学位学生在缴纳学费、住宿费和学生资助等方面参照相应专业本科生执行。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3.被录取的学生须按规定时间到校办理入学手续，因故延期报到者，应以书面形式提出申请，说明延期报到原因，并附相关证明材料。延期报到申请经本人及家长签名后，扫描发送至邮箱zs@swmu.edu.cn。延期报到时间最长不得超过两周，逾期不报到者，根据教育部规定取消入学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六、学制、学位管理与毕业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（一）第二学士学位学制为两年，全日制学习，纳入高校学籍管理系统。学校根据实际报到学生人数采取相应教学组织形式。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第二学士学位的毕业和学位授予，按照西南医科大学相关管理规定执行。毕业证书上将注明第二学士学位的专业名称、学习时间等内容；学位证书上将标识“第二学士学位”字样。学生获得第二学士学位证后，参加从业资格考试和从事相关专业资质按照国家有关政策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三）凡在修业年限内修完规定课程，达到毕业和授予学士学位要求的，颁发毕业证书和学位证书；达不到毕业要求的，不再延长学习时间，亦不实行留级制度，可发结业证书。对退学学生，我校可发肄业证书或写实性学习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四）第二学士学位毕业学生按当年应届生身份派遣并办理相关就业手续。学生如中途退学，对于以应届毕业生身份入学的，按退学当年应届本科毕业生身份派遣；以往届毕业生身份入学的，按现行相关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七、保障与监督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（一）学校第二学士学位招生工作在学校普教招生工作领导小组的领导下，由</w:t>
      </w:r>
      <w:r>
        <w:rPr>
          <w:rFonts w:hint="eastAsia" w:ascii="方正仿宋简体" w:hAnsi="方正仿宋简体" w:eastAsia="方正仿宋简体" w:cs="方正仿宋简体"/>
          <w:i w:val="0"/>
          <w:iCs w:val="0"/>
          <w:caps w:val="0"/>
          <w:color w:val="000000" w:themeColor="text1"/>
          <w:spacing w:val="0"/>
          <w:sz w:val="32"/>
          <w:szCs w:val="32"/>
          <w:shd w:val="clear" w:fill="FFFFFF"/>
          <w14:textFill>
            <w14:solidFill>
              <w14:schemeClr w14:val="tx1"/>
            </w14:solidFill>
          </w14:textFill>
        </w:rPr>
        <w:t>招生办公室</w:t>
      </w: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负责具体实施。学校纪检监察部门负责对第二学士学位招生工作进行全程监督。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（二）第二学士学位招生工作严格执行教育部有关招生管理规定，坚持公平、公正、公开、择优选拔的原则，做到招生章程公开、选拔方法公平、录取结果公示。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八、附则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（一）学生须承诺提交的所有材料客观、真实。如有虚假内容，将取消第二学士学位的录取资格；已经入学的，按教育部和我校相关规定处理。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（二）入学体检不符合教育部有关规定者，将根据教育部有关规定取消录取资格。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（三）我校未委托任何个人或中介组织开展第二学士学位招生有关工作。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（四）各位考生应详细阅读，并充分理解、认可本简章所述的报名、考核、入选等有关要求后再进行报名。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（五）如教育部相关政策有变化，以教育部最新政策为准。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九、咨询及联系方式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通讯地址：四川省泸州市龙马潭区香林路1段1号，西南医科大学招生办公室。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邮编：646000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联系电话：0830-3161658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电子邮箱：zs@swmu.edu.cn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学校网址：https://www.swmu.edu.cn/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学工平台</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http://me.swmu.edu.cn/</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本</w:t>
      </w:r>
      <w:r>
        <w:rPr>
          <w:rFonts w:hint="eastAsia" w:ascii="黑体" w:hAnsi="黑体" w:eastAsia="黑体" w:cs="黑体"/>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章程</w:t>
      </w: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由西南医科大学招生办公室负责解释</w:t>
      </w:r>
      <w:r>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p>
    <w:p/>
    <w:p/>
    <w:p/>
    <w:p>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西南医科大学2024年第二学士学位报名诚信承诺书</w:t>
      </w:r>
    </w:p>
    <w:tbl>
      <w:tblPr>
        <w:tblStyle w:val="4"/>
        <w:tblpPr w:leftFromText="180" w:rightFromText="180" w:vertAnchor="text" w:horzAnchor="page" w:tblpX="1659" w:tblpY="81"/>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exact"/>
        </w:trPr>
        <w:tc>
          <w:tcPr>
            <w:tcW w:w="1235"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考生签字确认</w:t>
            </w:r>
          </w:p>
        </w:tc>
        <w:tc>
          <w:tcPr>
            <w:tcW w:w="775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本人承诺以上所填报的所有信息（包括本人所提供的所有申请材料、申请报考的专业）真实准确，信息修改、虚假或错误由本人负责。</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考生（承诺人）签名：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9" w:hRule="exact"/>
        </w:trPr>
        <w:tc>
          <w:tcPr>
            <w:tcW w:w="1235"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本人</w:t>
            </w: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身份证</w:t>
            </w:r>
          </w:p>
        </w:tc>
        <w:tc>
          <w:tcPr>
            <w:tcW w:w="7753" w:type="dxa"/>
            <w:noWrap w:val="0"/>
            <w:vAlign w:val="center"/>
          </w:tcPr>
          <w:p>
            <w:pPr>
              <w:jc w:val="center"/>
              <w:rPr>
                <w:rFonts w:hint="eastAsia" w:ascii="仿宋" w:hAnsi="仿宋" w:eastAsia="仿宋" w:cs="仿宋"/>
                <w:sz w:val="24"/>
                <w:szCs w:val="24"/>
                <w:vertAlign w:val="baseline"/>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1463040</wp:posOffset>
                      </wp:positionH>
                      <wp:positionV relativeFrom="paragraph">
                        <wp:posOffset>1859280</wp:posOffset>
                      </wp:positionV>
                      <wp:extent cx="2084705" cy="295910"/>
                      <wp:effectExtent l="0" t="0" r="10795" b="8890"/>
                      <wp:wrapNone/>
                      <wp:docPr id="1" name="文本框 1"/>
                      <wp:cNvGraphicFramePr/>
                      <a:graphic xmlns:a="http://schemas.openxmlformats.org/drawingml/2006/main">
                        <a:graphicData uri="http://schemas.microsoft.com/office/word/2010/wordprocessingShape">
                          <wps:wsp>
                            <wps:cNvSpPr txBox="1"/>
                            <wps:spPr>
                              <a:xfrm>
                                <a:off x="2388235" y="8166735"/>
                                <a:ext cx="2084705"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lang w:val="en-US" w:eastAsia="zh-CN"/>
                                    </w:rPr>
                                    <w:t>本人身份证正面朝上放此处</w:t>
                                  </w:r>
                                  <w:r>
                                    <w:rPr>
                                      <w:rFonts w:hint="eastAsia" w:ascii="方正仿宋简体" w:hAnsi="方正仿宋简体" w:eastAsia="方正仿宋简体" w:cs="方正仿宋简体"/>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2pt;margin-top:146.4pt;height:23.3pt;width:164.15pt;z-index:251659264;mso-width-relative:page;mso-height-relative:page;" fillcolor="#FFFFFF [3201]" filled="t" stroked="f" coordsize="21600,21600" o:gfxdata="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ZZwIW&#10;1gAAAAsBAAAPAAAAAAAAAAEAIAAAACIAAABkcnMvZG93bnJldi54bWxQSwECFAAUAAAACACHTuJA&#10;kRobClwCAACbBAAADgAAAAAAAAABACAAAAAlAQAAZHJzL2Uyb0RvYy54bWxQSwUGAAAAAAYABgBZ&#10;AQAA8wUAAAAA&#10;">
                      <v:fill on="t" focussize="0,0"/>
                      <v:stroke on="f" weight="0.5pt"/>
                      <v:imagedata o:title=""/>
                      <o:lock v:ext="edit" aspectratio="f"/>
                      <v:textbox>
                        <w:txbxContent>
                          <w:p>
                            <w:pPr>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lang w:val="en-US" w:eastAsia="zh-CN"/>
                              </w:rPr>
                              <w:t>本人身份证正面朝上放此处</w:t>
                            </w:r>
                            <w:r>
                              <w:rPr>
                                <w:rFonts w:hint="eastAsia" w:ascii="方正仿宋简体" w:hAnsi="方正仿宋简体" w:eastAsia="方正仿宋简体" w:cs="方正仿宋简体"/>
                                <w:lang w:eastAsia="zh-CN"/>
                              </w:rPr>
                              <w:t>）</w:t>
                            </w:r>
                          </w:p>
                        </w:txbxContent>
                      </v:textbox>
                    </v:shape>
                  </w:pict>
                </mc:Fallback>
              </mc:AlternateContent>
            </w:r>
          </w:p>
        </w:tc>
      </w:tr>
    </w:tbl>
    <w:p>
      <w:pPr>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备注：由考生本人手写签字，按照要求拍照上传报名系统。</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BD40AF-ABF7-42E9-B982-9A9DD6B2E4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944CBF-B9FC-4A56-8784-B2BE96302BFF}"/>
  </w:font>
  <w:font w:name="方正小标宋简体">
    <w:panose1 w:val="02000000000000000000"/>
    <w:charset w:val="86"/>
    <w:family w:val="auto"/>
    <w:pitch w:val="default"/>
    <w:sig w:usb0="00000001" w:usb1="08000000" w:usb2="00000000" w:usb3="00000000" w:csb0="00040000" w:csb1="00000000"/>
    <w:embedRegular r:id="rId3" w:fontKey="{8E4940F6-78EE-49F6-860B-511B51C681F1}"/>
  </w:font>
  <w:font w:name="方正仿宋简体">
    <w:panose1 w:val="02000000000000000000"/>
    <w:charset w:val="86"/>
    <w:family w:val="auto"/>
    <w:pitch w:val="default"/>
    <w:sig w:usb0="A00002BF" w:usb1="184F6CFA" w:usb2="00000012" w:usb3="00000000" w:csb0="00040001" w:csb1="00000000"/>
    <w:embedRegular r:id="rId4" w:fontKey="{6343EEC1-942B-43ED-B800-C252C68F4178}"/>
  </w:font>
  <w:font w:name="仿宋">
    <w:panose1 w:val="02010609060101010101"/>
    <w:charset w:val="86"/>
    <w:family w:val="auto"/>
    <w:pitch w:val="default"/>
    <w:sig w:usb0="800002BF" w:usb1="38CF7CFA" w:usb2="00000016" w:usb3="00000000" w:csb0="00040001" w:csb1="00000000"/>
    <w:embedRegular r:id="rId5" w:fontKey="{8B5F6A1F-2B2A-4B0B-99E9-17483706DD90}"/>
  </w:font>
  <w:font w:name="Tahoma">
    <w:panose1 w:val="020B0604030504040204"/>
    <w:charset w:val="00"/>
    <w:family w:val="auto"/>
    <w:pitch w:val="default"/>
    <w:sig w:usb0="E1002EFF" w:usb1="C000605B" w:usb2="00000029" w:usb3="00000000" w:csb0="200101FF" w:csb1="20280000"/>
    <w:embedRegular r:id="rId6" w:fontKey="{20902E3E-F68F-4A38-93E4-999EB6078BFB}"/>
  </w:font>
  <w:font w:name="楷体">
    <w:panose1 w:val="02010609060101010101"/>
    <w:charset w:val="86"/>
    <w:family w:val="auto"/>
    <w:pitch w:val="default"/>
    <w:sig w:usb0="800002BF" w:usb1="38CF7CFA" w:usb2="00000016" w:usb3="00000000" w:csb0="00040001" w:csb1="00000000"/>
    <w:embedRegular r:id="rId7" w:fontKey="{92848319-5E5C-4199-B74F-269FD05D771A}"/>
  </w:font>
  <w:font w:name="方正小标宋_GBK">
    <w:altName w:val="微软雅黑"/>
    <w:panose1 w:val="03000509000000000000"/>
    <w:charset w:val="86"/>
    <w:family w:val="auto"/>
    <w:pitch w:val="default"/>
    <w:sig w:usb0="00000000" w:usb1="00000000" w:usb2="00000000" w:usb3="00000000" w:csb0="00040000" w:csb1="00000000"/>
    <w:embedRegular r:id="rId8" w:fontKey="{F49E5E56-3680-4997-B0C4-880FD43445A8}"/>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30E32"/>
    <w:multiLevelType w:val="singleLevel"/>
    <w:tmpl w:val="90030E32"/>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OWJiNzMyNTQ1MmEwZjdlOTU3MmM2OWI3NTliZWMifQ=="/>
  </w:docVars>
  <w:rsids>
    <w:rsidRoot w:val="00000000"/>
    <w:rsid w:val="044F0706"/>
    <w:rsid w:val="05BD7D70"/>
    <w:rsid w:val="05D83DD2"/>
    <w:rsid w:val="087A0C57"/>
    <w:rsid w:val="0A2C7D65"/>
    <w:rsid w:val="0A97506D"/>
    <w:rsid w:val="0B5C429A"/>
    <w:rsid w:val="0BA16416"/>
    <w:rsid w:val="13787802"/>
    <w:rsid w:val="1F7C61AA"/>
    <w:rsid w:val="2668554F"/>
    <w:rsid w:val="272F0913"/>
    <w:rsid w:val="28F15B1E"/>
    <w:rsid w:val="2B7A0475"/>
    <w:rsid w:val="2FE83639"/>
    <w:rsid w:val="30270C37"/>
    <w:rsid w:val="30AA2E90"/>
    <w:rsid w:val="33EA2474"/>
    <w:rsid w:val="39CC1BCD"/>
    <w:rsid w:val="3AC21627"/>
    <w:rsid w:val="3DD51799"/>
    <w:rsid w:val="40982C61"/>
    <w:rsid w:val="4453331F"/>
    <w:rsid w:val="47A65A45"/>
    <w:rsid w:val="4AD47B50"/>
    <w:rsid w:val="4BC71AA6"/>
    <w:rsid w:val="4FEB0A5A"/>
    <w:rsid w:val="51602F64"/>
    <w:rsid w:val="586E10F3"/>
    <w:rsid w:val="59704251"/>
    <w:rsid w:val="5B7808CB"/>
    <w:rsid w:val="5C0D52B5"/>
    <w:rsid w:val="5EA04F5B"/>
    <w:rsid w:val="5F9459DD"/>
    <w:rsid w:val="608F64FA"/>
    <w:rsid w:val="613219B1"/>
    <w:rsid w:val="61B274D4"/>
    <w:rsid w:val="61FF4742"/>
    <w:rsid w:val="62B26E50"/>
    <w:rsid w:val="63FF23D3"/>
    <w:rsid w:val="66CD4D5B"/>
    <w:rsid w:val="689D3056"/>
    <w:rsid w:val="68D31007"/>
    <w:rsid w:val="6C9246A4"/>
    <w:rsid w:val="702205AA"/>
    <w:rsid w:val="71E47BF5"/>
    <w:rsid w:val="73E83A7A"/>
    <w:rsid w:val="7DBE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2023-03-15T02:36:00Z</dcterms:created>
  <dc:creator>Administrator</dc:creator>
  <cp:lastModifiedBy>Administrator</cp:lastModifiedBy>
  <cp:lastPrinted>2024-05-14T01:39:00Z</cp:lastPrinted>
  <dcterms:modified xsi:type="dcterms:W3CDTF">2024-05-22T03:41:47Z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76176E8BBDC7487C90C3F8B3F1042BF6_13</vt:lpwstr>
  </property>
</Properties>
</file>