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default" w:ascii="方正小标宋简体" w:hAnsi="方正小标宋简体" w:eastAsia="方正小标宋简体" w:cs="方正小标宋简体"/>
          <w:i w:val="0"/>
          <w:iCs w:val="0"/>
          <w:caps w:val="0"/>
          <w:color w:val="000000" w:themeColor="text1"/>
          <w:spacing w:val="0"/>
          <w:kern w:val="0"/>
          <w:sz w:val="44"/>
          <w:szCs w:val="44"/>
          <w:shd w:val="clear" w:fill="FFFFFF"/>
          <w:vertAlign w:val="baseli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西南医科大学202</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年第二学士学位招生</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章程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ascii="仿宋" w:hAnsi="仿宋" w:eastAsia="仿宋" w:cs="仿宋"/>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根据《教育部办公厅关于在普通高校继续开展第二学士学位教育的通知》（教高厅函〔2020〕9号）以及《教育部高等教育司关于做好2023年度第二学士学位教育工作的通知》文件精神，为培养更多高素质应用复合型人才，增强学生就业创业能力，经学校研究决定2023年继续开展第二学士学位招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一、招生专业与计划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我校202</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3</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年第二学士学位招生专业为预防医学和康复治疗学，招生计划120人。招生专业及计划分布如下。</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5"/>
        <w:gridCol w:w="2265"/>
        <w:gridCol w:w="1633"/>
        <w:gridCol w:w="2268"/>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序号</w:t>
            </w:r>
          </w:p>
        </w:tc>
        <w:tc>
          <w:tcPr>
            <w:tcW w:w="2265"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招生专业</w:t>
            </w:r>
          </w:p>
        </w:tc>
        <w:tc>
          <w:tcPr>
            <w:tcW w:w="1633"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招生计划</w:t>
            </w:r>
          </w:p>
        </w:tc>
        <w:tc>
          <w:tcPr>
            <w:tcW w:w="2268"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学位授予门类</w:t>
            </w:r>
          </w:p>
        </w:tc>
        <w:tc>
          <w:tcPr>
            <w:tcW w:w="1774"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vertAlign w:val="baseline"/>
                <w:lang w:val="en-US" w:eastAsia="zh-CN" w:bidi="ar"/>
                <w14:textFill>
                  <w14:solidFill>
                    <w14:schemeClr w14:val="tx1"/>
                  </w14:solidFill>
                </w14:textFill>
              </w:rPr>
              <w:t>1</w:t>
            </w:r>
          </w:p>
        </w:tc>
        <w:tc>
          <w:tcPr>
            <w:tcW w:w="2265"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预防医学</w:t>
            </w:r>
          </w:p>
        </w:tc>
        <w:tc>
          <w:tcPr>
            <w:tcW w:w="1633"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default" w:ascii="Times New Roman" w:hAnsi="Times New Roman" w:eastAsia="Tahoma" w:cs="Times New Roman"/>
                <w:i w:val="0"/>
                <w:iCs w:val="0"/>
                <w:caps w:val="0"/>
                <w:color w:val="000000" w:themeColor="text1"/>
                <w:spacing w:val="0"/>
                <w:kern w:val="0"/>
                <w:sz w:val="32"/>
                <w:szCs w:val="32"/>
                <w:vertAlign w:val="baseline"/>
                <w:lang w:val="en-US" w:eastAsia="zh-CN" w:bidi="ar"/>
                <w14:textFill>
                  <w14:solidFill>
                    <w14:schemeClr w14:val="tx1"/>
                  </w14:solidFill>
                </w14:textFill>
              </w:rPr>
              <w:t>6</w:t>
            </w:r>
            <w:r>
              <w:rPr>
                <w:rFonts w:hint="default" w:ascii="Times New Roman" w:hAnsi="Times New Roman" w:eastAsia="仿宋" w:cs="Times New Roman"/>
                <w:i w:val="0"/>
                <w:iCs w:val="0"/>
                <w:caps w:val="0"/>
                <w:color w:val="000000" w:themeColor="text1"/>
                <w:spacing w:val="0"/>
                <w:kern w:val="0"/>
                <w:sz w:val="32"/>
                <w:szCs w:val="32"/>
                <w:vertAlign w:val="baseline"/>
                <w:lang w:val="en-US" w:eastAsia="zh-CN" w:bidi="ar"/>
                <w14:textFill>
                  <w14:solidFill>
                    <w14:schemeClr w14:val="tx1"/>
                  </w14:solidFill>
                </w14:textFill>
              </w:rPr>
              <w:t>0</w:t>
            </w:r>
          </w:p>
        </w:tc>
        <w:tc>
          <w:tcPr>
            <w:tcW w:w="2268"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医学</w:t>
            </w:r>
          </w:p>
        </w:tc>
        <w:tc>
          <w:tcPr>
            <w:tcW w:w="1774"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二年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default" w:ascii="Times New Roman" w:hAnsi="Times New Roman" w:eastAsia="仿宋" w:cs="Times New Roman"/>
                <w:i w:val="0"/>
                <w:iCs w:val="0"/>
                <w:caps w:val="0"/>
                <w:color w:val="000000" w:themeColor="text1"/>
                <w:spacing w:val="0"/>
                <w:kern w:val="0"/>
                <w:sz w:val="32"/>
                <w:szCs w:val="32"/>
                <w:vertAlign w:val="baseline"/>
                <w:lang w:val="en-US" w:eastAsia="zh-CN" w:bidi="ar"/>
                <w14:textFill>
                  <w14:solidFill>
                    <w14:schemeClr w14:val="tx1"/>
                  </w14:solidFill>
                </w14:textFill>
              </w:rPr>
              <w:t>2</w:t>
            </w:r>
          </w:p>
        </w:tc>
        <w:tc>
          <w:tcPr>
            <w:tcW w:w="2265"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康复治疗学</w:t>
            </w:r>
          </w:p>
        </w:tc>
        <w:tc>
          <w:tcPr>
            <w:tcW w:w="1633"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default" w:ascii="Times New Roman" w:hAnsi="Times New Roman" w:eastAsia="Tahoma" w:cs="Times New Roman"/>
                <w:i w:val="0"/>
                <w:iCs w:val="0"/>
                <w:caps w:val="0"/>
                <w:color w:val="000000" w:themeColor="text1"/>
                <w:spacing w:val="0"/>
                <w:kern w:val="0"/>
                <w:sz w:val="32"/>
                <w:szCs w:val="32"/>
                <w:vertAlign w:val="baseline"/>
                <w:lang w:val="en-US" w:eastAsia="zh-CN" w:bidi="ar"/>
                <w14:textFill>
                  <w14:solidFill>
                    <w14:schemeClr w14:val="tx1"/>
                  </w14:solidFill>
                </w14:textFill>
              </w:rPr>
              <w:t>6</w:t>
            </w:r>
            <w:r>
              <w:rPr>
                <w:rFonts w:hint="default" w:ascii="Times New Roman" w:hAnsi="Times New Roman" w:eastAsia="仿宋" w:cs="Times New Roman"/>
                <w:i w:val="0"/>
                <w:iCs w:val="0"/>
                <w:caps w:val="0"/>
                <w:color w:val="000000" w:themeColor="text1"/>
                <w:spacing w:val="0"/>
                <w:kern w:val="0"/>
                <w:sz w:val="32"/>
                <w:szCs w:val="32"/>
                <w:vertAlign w:val="baseline"/>
                <w:lang w:val="en-US" w:eastAsia="zh-CN" w:bidi="ar"/>
                <w14:textFill>
                  <w14:solidFill>
                    <w14:schemeClr w14:val="tx1"/>
                  </w14:solidFill>
                </w14:textFill>
              </w:rPr>
              <w:t>0</w:t>
            </w:r>
          </w:p>
        </w:tc>
        <w:tc>
          <w:tcPr>
            <w:tcW w:w="2268"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理学</w:t>
            </w:r>
          </w:p>
        </w:tc>
        <w:tc>
          <w:tcPr>
            <w:tcW w:w="1774"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color w:val="000000" w:themeColor="text1"/>
                <w:sz w:val="18"/>
                <w:szCs w:val="18"/>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vertAlign w:val="baseline"/>
                <w:lang w:val="en-US" w:eastAsia="zh-CN" w:bidi="ar"/>
                <w14:textFill>
                  <w14:solidFill>
                    <w14:schemeClr w14:val="tx1"/>
                  </w14:solidFill>
                </w14:textFill>
              </w:rPr>
              <w:t>二年</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二、招生对象与报名条件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楷体" w:hAnsi="楷体" w:eastAsia="楷体" w:cs="楷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（一）招生对象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1.西南医科大学20</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20</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-202</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届获得学士学位且目前未就业的往届生</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（以下简称往届生）。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仿宋" w:hAnsi="仿宋" w:eastAsia="仿宋" w:cs="仿宋"/>
          <w:i w:val="0"/>
          <w:iCs w:val="0"/>
          <w:caps w:val="0"/>
          <w:color w:val="000000" w:themeColor="text1"/>
          <w:spacing w:val="0"/>
          <w:kern w:val="0"/>
          <w:sz w:val="32"/>
          <w:szCs w:val="32"/>
          <w:highlight w:val="yellow"/>
          <w:vertAlign w:val="baseline"/>
          <w:lang w:val="en-US" w:eastAsia="zh-CN" w:bidi="ar"/>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2.西南医科大学202</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3</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届获得学士学位的应届本科毕业生</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（以下简称应届生）。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（二）报名条件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1.热爱祖国，拥护中国共产党的领导，思想品德合格，身心健康，遵纪守法。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2.获得本科毕业证书和学士学位证书并在中国高等教育学生信息网注册。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kern w:val="0"/>
          <w:sz w:val="32"/>
          <w:szCs w:val="32"/>
          <w:highlight w:val="yellow"/>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3.体检标准按教育部、卫生部、中国残疾人联合会印发的《普通高等学校招生体检工作指导意见》（教学〔2003〕3号）和《西南医科大学2023年全日制本科招生章程》等有关规定执行。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4</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.报考专业须与原本科专业分属不同学科门类；或属于同一学科门类但不属于同一本科专业类。具体专业所属的学科门类、本科专业类可登录教育部网站（</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fldChar w:fldCharType="begin"/>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instrText xml:space="preserve"> HYPERLINK "http://www.moe.gov.cn/" </w:instrTex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fldChar w:fldCharType="separate"/>
      </w:r>
      <w:r>
        <w:rPr>
          <w:rStyle w:val="8"/>
          <w:rFonts w:hint="default" w:ascii="Times New Roman" w:hAnsi="Times New Roman" w:eastAsia="方正仿宋简体" w:cs="Times New Roman"/>
          <w:i w:val="0"/>
          <w:iCs w:val="0"/>
          <w:caps w:val="0"/>
          <w:color w:val="000000" w:themeColor="text1"/>
          <w:spacing w:val="0"/>
          <w:sz w:val="32"/>
          <w:szCs w:val="32"/>
          <w:shd w:val="clear" w:fill="FFFFFF"/>
          <w:vertAlign w:val="baseline"/>
          <w14:textFill>
            <w14:solidFill>
              <w14:schemeClr w14:val="tx1"/>
            </w14:solidFill>
          </w14:textFill>
        </w:rPr>
        <w:t>www.moe.gov.cn</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fldChar w:fldCharType="end"/>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）进行查询。其中，报考预防医学的第一学士学位专业有限制，康复治疗学专业不限（见下表）。</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9"/>
        <w:gridCol w:w="2028"/>
        <w:gridCol w:w="6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85" w:type="dxa"/>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序号</w:t>
            </w:r>
          </w:p>
        </w:tc>
        <w:tc>
          <w:tcPr>
            <w:tcW w:w="2055"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招生专业</w:t>
            </w:r>
          </w:p>
        </w:tc>
        <w:tc>
          <w:tcPr>
            <w:tcW w:w="6237"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第一学士学位专业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85"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vertAlign w:val="baseline"/>
                <w:lang w:val="en-US" w:eastAsia="zh-CN" w:bidi="ar"/>
                <w14:textFill>
                  <w14:solidFill>
                    <w14:schemeClr w14:val="tx1"/>
                  </w14:solidFill>
                </w14:textFill>
              </w:rPr>
              <w:t>1</w:t>
            </w:r>
          </w:p>
        </w:tc>
        <w:tc>
          <w:tcPr>
            <w:tcW w:w="2055"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预防医学</w:t>
            </w:r>
          </w:p>
        </w:tc>
        <w:tc>
          <w:tcPr>
            <w:tcW w:w="6237"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highlight w:val="none"/>
                <w:vertAlign w:val="baseline"/>
                <w:lang w:val="en-US" w:eastAsia="zh-CN" w:bidi="ar"/>
                <w14:textFill>
                  <w14:solidFill>
                    <w14:schemeClr w14:val="tx1"/>
                  </w14:solidFill>
                </w14:textFill>
              </w:rPr>
              <w:t>限基础医学类、医学技术类、药学类、护理类等医学类专业或者近医类专业（具体包括临床医学、中医学、口腔医学、麻醉学、护理学、药学、医学检验技术、医学影像学、中西医临床医学、基础医学、公共事业管理、康复治疗学、临床药学、中药学、医学影像技术、食品卫生与营养学、卫生检验与检疫、儿科学、健康服务与管理、精神医学专业）</w:t>
            </w: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885"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vertAlign w:val="baseline"/>
                <w:lang w:val="en-US" w:eastAsia="zh-CN" w:bidi="ar"/>
                <w14:textFill>
                  <w14:solidFill>
                    <w14:schemeClr w14:val="tx1"/>
                  </w14:solidFill>
                </w14:textFill>
              </w:rPr>
              <w:t>2</w:t>
            </w:r>
          </w:p>
        </w:tc>
        <w:tc>
          <w:tcPr>
            <w:tcW w:w="2055"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康复治疗学</w:t>
            </w:r>
          </w:p>
        </w:tc>
        <w:tc>
          <w:tcPr>
            <w:tcW w:w="6237" w:type="dxa"/>
            <w:tcBorders>
              <w:top w:val="nil"/>
              <w:left w:val="nil"/>
              <w:bottom w:val="single" w:color="000000" w:sz="8" w:space="0"/>
              <w:right w:val="single" w:color="000000" w:sz="8"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vertAlign w:val="baseline"/>
                <w:lang w:val="en-US" w:eastAsia="zh-CN" w:bidi="ar"/>
                <w14:textFill>
                  <w14:solidFill>
                    <w14:schemeClr w14:val="tx1"/>
                  </w14:solidFill>
                </w14:textFill>
              </w:rPr>
              <w:t>专业不限</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三、报名方式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（一）报名材料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报名材料全部为电子文档，无需邮寄纸质材料。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1.本人签字确认的《报名表》（附件2）扫描件。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2.本人二代居民身份证扫描件。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3.本人近期免冠1寸彩照。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以上材料要求扫描清晰，彩色，并统一打包以“姓名+报考专业”命名。未按要求提交材料者，视为报名无效。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（二）材料提交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default" w:ascii="Times New Roman" w:hAnsi="Times New Roman" w:eastAsia="方正仿宋简体" w:cs="Times New Roman"/>
          <w:i w:val="0"/>
          <w:iCs w:val="0"/>
          <w:caps w:val="0"/>
          <w:color w:val="000000" w:themeColor="text1"/>
          <w:spacing w:val="0"/>
          <w:sz w:val="32"/>
          <w:szCs w:val="32"/>
          <w:shd w:val="clear" w:fill="FFFFFF"/>
          <w:vertAlign w:val="baseline"/>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2"/>
          <w:szCs w:val="32"/>
          <w:shd w:val="clear" w:fill="FFFFFF"/>
          <w:vertAlign w:val="baseline"/>
          <w14:textFill>
            <w14:solidFill>
              <w14:schemeClr w14:val="tx1"/>
            </w14:solidFill>
          </w14:textFill>
        </w:rPr>
        <w:t>考生须将</w:t>
      </w:r>
      <w:r>
        <w:rPr>
          <w:rFonts w:hint="eastAsia" w:ascii="Times New Roman" w:hAnsi="Times New Roman" w:eastAsia="方正仿宋简体" w:cs="Times New Roman"/>
          <w:i w:val="0"/>
          <w:iCs w:val="0"/>
          <w:caps w:val="0"/>
          <w:color w:val="000000" w:themeColor="text1"/>
          <w:spacing w:val="0"/>
          <w:sz w:val="32"/>
          <w:szCs w:val="32"/>
          <w:shd w:val="clear" w:fill="FFFFFF"/>
          <w:vertAlign w:val="baseline"/>
          <w:lang w:val="en-US" w:eastAsia="zh-CN"/>
          <w14:textFill>
            <w14:solidFill>
              <w14:schemeClr w14:val="tx1"/>
            </w14:solidFill>
          </w14:textFill>
        </w:rPr>
        <w:t>报名</w:t>
      </w:r>
      <w:r>
        <w:rPr>
          <w:rFonts w:hint="default" w:ascii="Times New Roman" w:hAnsi="Times New Roman" w:eastAsia="方正仿宋简体" w:cs="Times New Roman"/>
          <w:i w:val="0"/>
          <w:iCs w:val="0"/>
          <w:caps w:val="0"/>
          <w:color w:val="000000" w:themeColor="text1"/>
          <w:spacing w:val="0"/>
          <w:sz w:val="32"/>
          <w:szCs w:val="32"/>
          <w:shd w:val="clear" w:fill="FFFFFF"/>
          <w:vertAlign w:val="baseline"/>
          <w14:textFill>
            <w14:solidFill>
              <w14:schemeClr w14:val="tx1"/>
            </w14:solidFill>
          </w14:textFill>
        </w:rPr>
        <w:t>材料发送至我校招生办公室电子邮箱（zs@swmu.edu.cn）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fill="FFFFFF"/>
          <w:vertAlign w:val="baseline"/>
          <w:lang w:eastAsia="zh-CN"/>
          <w14:textFill>
            <w14:solidFill>
              <w14:schemeClr w14:val="tx1"/>
            </w14:solidFill>
          </w14:textFill>
        </w:rPr>
        <w:t>（三）报名时间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2023年5月20日-2023年5月30日。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四、资格审查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sz w:val="32"/>
          <w:szCs w:val="32"/>
          <w:shd w:val="clear" w:fill="FFFFFF"/>
          <w:vertAlign w:val="baseline"/>
          <w14:textFill>
            <w14:solidFill>
              <w14:schemeClr w14:val="tx1"/>
            </w14:solidFill>
          </w14:textFill>
        </w:rPr>
        <w:t>学校教务处</w:t>
      </w:r>
      <w:r>
        <w:rPr>
          <w:rFonts w:hint="eastAsia" w:ascii="方正仿宋简体" w:hAnsi="方正仿宋简体" w:eastAsia="方正仿宋简体" w:cs="方正仿宋简体"/>
          <w:i w:val="0"/>
          <w:iCs w:val="0"/>
          <w:caps w:val="0"/>
          <w:color w:val="000000" w:themeColor="text1"/>
          <w:spacing w:val="0"/>
          <w:sz w:val="32"/>
          <w:szCs w:val="32"/>
          <w:shd w:val="clear" w:fill="FFFFFF"/>
          <w:vertAlign w:val="baseline"/>
          <w:lang w:val="en-US" w:eastAsia="zh-CN"/>
          <w14:textFill>
            <w14:solidFill>
              <w14:schemeClr w14:val="tx1"/>
            </w14:solidFill>
          </w14:textFill>
        </w:rPr>
        <w:t>、学生工作处</w:t>
      </w:r>
      <w:r>
        <w:rPr>
          <w:rFonts w:hint="eastAsia" w:ascii="方正仿宋简体" w:hAnsi="方正仿宋简体" w:eastAsia="方正仿宋简体" w:cs="方正仿宋简体"/>
          <w:i w:val="0"/>
          <w:iCs w:val="0"/>
          <w:caps w:val="0"/>
          <w:color w:val="000000" w:themeColor="text1"/>
          <w:spacing w:val="0"/>
          <w:sz w:val="32"/>
          <w:szCs w:val="32"/>
          <w:shd w:val="clear" w:fill="FFFFFF"/>
          <w:vertAlign w:val="baseline"/>
          <w14:textFill>
            <w14:solidFill>
              <w14:schemeClr w14:val="tx1"/>
            </w14:solidFill>
          </w14:textFill>
        </w:rPr>
        <w:t>将根据教育部有关规定及报名条件审核考生报名资格和报名材料。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五、录取与入学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（一）录取规则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lang w:val="en-US"/>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通过资格审查的学生，学校教务处按照“成绩优先，遵循志愿”原则，依据学生在校期间必修课平均学分绩点（分年级分专业）排序，然后分类别从高到低依次录取。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学校将于202</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3</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年</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6</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月</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底</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在学校</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学工一体化平台</w:t>
      </w:r>
      <w:bookmarkStart w:id="0" w:name="_GoBack"/>
      <w:bookmarkEnd w:id="0"/>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公示拟录取学生名单，公示无异议后，发放《录取通知书》。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楷体" w:hAnsi="楷体" w:eastAsia="楷体" w:cs="楷体"/>
          <w:i w:val="0"/>
          <w:iCs w:val="0"/>
          <w:caps w:val="0"/>
          <w:color w:val="000000" w:themeColor="text1"/>
          <w:spacing w:val="0"/>
          <w:sz w:val="32"/>
          <w:szCs w:val="32"/>
          <w:lang w:val="en-US"/>
          <w14:textFill>
            <w14:solidFill>
              <w14:schemeClr w14:val="tx1"/>
            </w14:solidFill>
          </w14:textFill>
        </w:rPr>
      </w:pPr>
      <w:r>
        <w:rPr>
          <w:rFonts w:hint="eastAsia" w:ascii="楷体" w:hAnsi="楷体" w:eastAsia="楷体" w:cs="楷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（二）入学报到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1.入学报到时须携带以下材料原件到相关院系报到并进行现场核验：本人签字确认的《报名表》（附件1）原件、《录取通知书》原件、二代居民身份证原件、本科毕业证书、学士学位证书原件。报到时无法提供本科毕业证书、学士学位证书的，取消其入学资格。学生报到时因具有其他高等教育在读学籍而无法在学信网注册我校学籍者，视为放弃入学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2.第二学士学位学生在缴纳学费、住宿费和学生资助等方面参照相应专业本科生执行。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3.被录取的学生须按规定时间到校办理入学手续，因故延期报到者，应以书面形式提出申请，说明延期报到原因，并附相关证明材料。延期报到申请经本人及家长签名后，扫描发送至邮箱zs@swmu.edu.cn。延期报到时间最长不得超过两周，逾期不报到者，根据教育部规定取消入学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六、学制、学位管理与毕业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（一）第二学士学位学制为两年，全日制学习，纳入高校学籍管理系统。学校根据实际报到学生人数采取相应教学组织形式。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第二学士学位的毕业和学位授予，按照西南医科大学相关管理规定执行。毕业证书上将注明第二学士学位的专业名称、学习时间等内容；学位证书上将标识“第二学士学位”字样。学生获得第二学士学位证后，参加从业资格考试和从事相关专业资质按照国家有关政策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凡在修业年限内修完规定课程，达到毕业和授予学士学位要求的，颁发毕业证书和学位证书；达不到毕业要求的，不再延长学习时间，亦不实行留级制度，可发结业证书。对退学学生，我校可发肄业证书或写实性学习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四）第二学士学位毕业学生按当年应届生身份派遣并办理相关就业手续。学生如中途退学，对于以应届毕业生身份入学的，按退学当年应届本科毕业生身份派遣；以往届毕业生身份入学的，按现行相关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七、保障与监督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（一）学校第二学士学位招生工作在学校普教招生工作领导小组的领导下，由</w:t>
      </w:r>
      <w:r>
        <w:rPr>
          <w:rFonts w:hint="eastAsia" w:ascii="方正仿宋简体" w:hAnsi="方正仿宋简体" w:eastAsia="方正仿宋简体" w:cs="方正仿宋简体"/>
          <w:i w:val="0"/>
          <w:iCs w:val="0"/>
          <w:caps w:val="0"/>
          <w:color w:val="000000" w:themeColor="text1"/>
          <w:spacing w:val="0"/>
          <w:sz w:val="32"/>
          <w:szCs w:val="32"/>
          <w:shd w:val="clear" w:fill="FFFFFF"/>
          <w14:textFill>
            <w14:solidFill>
              <w14:schemeClr w14:val="tx1"/>
            </w14:solidFill>
          </w14:textFill>
        </w:rPr>
        <w:t>招生办公室</w:t>
      </w: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负责具体实施。学校纪检监察部门负责对第二学士学位招生工作进行全程监督。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（二）第二学士学位招生工作严格执行教育部有关招生管理规定，坚持公平、公正、公开、择优选拔的原则，做到招生章程公开、选拔方法公平、录取结果公示。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八、附则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（一）学生须承诺提交的所有材料客观、真实。如有虚假内容，将取消第二学士学位的录取资格；已经入学的，按教育部和我校相关规定处理。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（二）入学体检不符合教育部有关规定者，将根据教育部有关规定取消录取资格。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（三）我校未委托任何个人或中介组织开展第二学士学位招生有关工作。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（四）各位考生应详细阅读，并充分理解、认可本简章所述的报名、考核、入选等有关要求后再进行报名。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方正仿宋简体" w:hAnsi="方正仿宋简体" w:eastAsia="方正仿宋简体" w:cs="方正仿宋简体"/>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（五）如教育部相关政策有变化，以教育部最新政策为准。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九、咨询及联系方式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通讯地址：四川省泸州市龙马潭区香林路1段1号，西南医科大学招生办公室。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邮编：646000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联系电话：0830-3161658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电子邮箱：zs@swmu.edu.cn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学校网址：https://www.swmu.edu.cn/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baseline"/>
        <w:rPr>
          <w:rFonts w:hint="default" w:ascii="Times New Roman" w:hAnsi="Times New Roman" w:eastAsia="方正仿宋简体" w:cs="Times New Roman"/>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学工平台</w:t>
      </w:r>
      <w:r>
        <w:rPr>
          <w:rFonts w:hint="default"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w:t>
      </w:r>
      <w:r>
        <w:rPr>
          <w:rFonts w:hint="eastAsia" w:ascii="Times New Roman" w:hAnsi="Times New Roman" w:eastAsia="方正仿宋简体" w:cs="Times New Roman"/>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http://me.swmu.edu.cn/</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本</w:t>
      </w:r>
      <w:r>
        <w:rPr>
          <w:rFonts w:hint="eastAsia" w:ascii="黑体" w:hAnsi="黑体" w:eastAsia="黑体" w:cs="黑体"/>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章程</w:t>
      </w:r>
      <w:r>
        <w:rPr>
          <w:rFonts w:hint="eastAsia" w:ascii="黑体" w:hAnsi="黑体" w:eastAsia="黑体" w:cs="黑体"/>
          <w:b w:val="0"/>
          <w:bCs w:val="0"/>
          <w:i w:val="0"/>
          <w:iCs w:val="0"/>
          <w:caps w:val="0"/>
          <w:color w:val="000000" w:themeColor="text1"/>
          <w:spacing w:val="0"/>
          <w:sz w:val="32"/>
          <w:szCs w:val="32"/>
          <w:shd w:val="clear" w:fill="FFFFFF"/>
          <w:vertAlign w:val="baseline"/>
          <w14:textFill>
            <w14:solidFill>
              <w14:schemeClr w14:val="tx1"/>
            </w14:solidFill>
          </w14:textFill>
        </w:rPr>
        <w:t>由西南医科大学学生工作处招生办公室负责解释</w:t>
      </w:r>
      <w:r>
        <w:rPr>
          <w:rFonts w:hint="eastAsia"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t>。</w:t>
      </w:r>
    </w:p>
    <w:p>
      <w:pPr>
        <w:keepNext w:val="0"/>
        <w:keepLines w:val="0"/>
        <w:pageBreakBefore w:val="0"/>
        <w:widowControl w:val="0"/>
        <w:tabs>
          <w:tab w:val="left" w:pos="1165"/>
        </w:tabs>
        <w:kinsoku/>
        <w:wordWrap/>
        <w:overflowPunct/>
        <w:topLinePunct w:val="0"/>
        <w:autoSpaceDE/>
        <w:autoSpaceDN/>
        <w:bidi w:val="0"/>
        <w:adjustRightInd/>
        <w:snapToGrid/>
        <w:spacing w:line="240" w:lineRule="auto"/>
        <w:textAlignment w:val="auto"/>
        <w:rPr>
          <w:rFonts w:hint="default" w:ascii="黑体" w:hAnsi="黑体" w:eastAsia="黑体" w:cs="黑体"/>
          <w:b w:val="0"/>
          <w:bCs w:val="0"/>
          <w:i w:val="0"/>
          <w:iCs w:val="0"/>
          <w:caps w:val="0"/>
          <w:color w:val="000000" w:themeColor="text1"/>
          <w:spacing w:val="0"/>
          <w:kern w:val="0"/>
          <w:sz w:val="32"/>
          <w:szCs w:val="32"/>
          <w:shd w:val="clear" w:fill="FFFFFF"/>
          <w:vertAlign w:val="baseline"/>
          <w:lang w:val="en-US" w:eastAsia="zh-CN" w:bidi="ar"/>
          <w14:textFill>
            <w14:solidFill>
              <w14:schemeClr w14:val="tx1"/>
            </w14:solidFill>
          </w14:textFill>
        </w:rPr>
      </w:pP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B305F6-6E95-41E1-9846-CF7B38DEBB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072E9B8-BB9A-44E8-A4F4-1DCD572E742D}"/>
  </w:font>
  <w:font w:name="仿宋">
    <w:panose1 w:val="02010609060101010101"/>
    <w:charset w:val="86"/>
    <w:family w:val="auto"/>
    <w:pitch w:val="default"/>
    <w:sig w:usb0="800002BF" w:usb1="38CF7CFA" w:usb2="00000016" w:usb3="00000000" w:csb0="00040001" w:csb1="00000000"/>
    <w:embedRegular r:id="rId3" w:fontKey="{213514F7-4426-4DCF-9D3B-266B55762360}"/>
  </w:font>
  <w:font w:name="方正仿宋简体">
    <w:panose1 w:val="02000000000000000000"/>
    <w:charset w:val="86"/>
    <w:family w:val="auto"/>
    <w:pitch w:val="default"/>
    <w:sig w:usb0="A00002BF" w:usb1="184F6CFA" w:usb2="00000012" w:usb3="00000000" w:csb0="00040001" w:csb1="00000000"/>
    <w:embedRegular r:id="rId4" w:fontKey="{64CE90C1-45B6-49A9-A96C-3FF616BD16A3}"/>
  </w:font>
  <w:font w:name="Tahoma">
    <w:panose1 w:val="020B0604030504040204"/>
    <w:charset w:val="00"/>
    <w:family w:val="auto"/>
    <w:pitch w:val="default"/>
    <w:sig w:usb0="E1002EFF" w:usb1="C000605B" w:usb2="00000029" w:usb3="00000000" w:csb0="200101FF" w:csb1="20280000"/>
    <w:embedRegular r:id="rId5" w:fontKey="{00801193-55C6-43F0-8B1F-B0B36EA314DE}"/>
  </w:font>
  <w:font w:name="楷体">
    <w:panose1 w:val="02010609060101010101"/>
    <w:charset w:val="86"/>
    <w:family w:val="auto"/>
    <w:pitch w:val="default"/>
    <w:sig w:usb0="800002BF" w:usb1="38CF7CFA" w:usb2="00000016" w:usb3="00000000" w:csb0="00040001" w:csb1="00000000"/>
    <w:embedRegular r:id="rId6" w:fontKey="{A5B08543-9ADF-45E1-9F39-DE81FCF3BA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30E32"/>
    <w:multiLevelType w:val="singleLevel"/>
    <w:tmpl w:val="90030E3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OWJiNzMyNTQ1MmEwZjdlOTU3MmM2OWI3NTliZWMifQ=="/>
  </w:docVars>
  <w:rsids>
    <w:rsidRoot w:val="00000000"/>
    <w:rsid w:val="0109282B"/>
    <w:rsid w:val="03161DE0"/>
    <w:rsid w:val="0442248D"/>
    <w:rsid w:val="04BB38E0"/>
    <w:rsid w:val="05670D53"/>
    <w:rsid w:val="07090D29"/>
    <w:rsid w:val="07640468"/>
    <w:rsid w:val="081A7AA5"/>
    <w:rsid w:val="0B130F16"/>
    <w:rsid w:val="137831C7"/>
    <w:rsid w:val="192C102D"/>
    <w:rsid w:val="1A572BBB"/>
    <w:rsid w:val="1B351FAC"/>
    <w:rsid w:val="1CA06E89"/>
    <w:rsid w:val="1D544DF8"/>
    <w:rsid w:val="1E90231B"/>
    <w:rsid w:val="1EBB5868"/>
    <w:rsid w:val="222D4BDC"/>
    <w:rsid w:val="22F46F43"/>
    <w:rsid w:val="231D1CA3"/>
    <w:rsid w:val="23424ACE"/>
    <w:rsid w:val="245F6208"/>
    <w:rsid w:val="2483022C"/>
    <w:rsid w:val="24E02E51"/>
    <w:rsid w:val="26D0702D"/>
    <w:rsid w:val="29C24B5E"/>
    <w:rsid w:val="2A3D3AC0"/>
    <w:rsid w:val="2ABA24CE"/>
    <w:rsid w:val="2BD97CE1"/>
    <w:rsid w:val="2C5D4251"/>
    <w:rsid w:val="30BB2AFC"/>
    <w:rsid w:val="310D3357"/>
    <w:rsid w:val="334132B4"/>
    <w:rsid w:val="35610033"/>
    <w:rsid w:val="35F26FC0"/>
    <w:rsid w:val="361B3376"/>
    <w:rsid w:val="37046FAB"/>
    <w:rsid w:val="3B7D4A60"/>
    <w:rsid w:val="3E38578C"/>
    <w:rsid w:val="3E8A14CE"/>
    <w:rsid w:val="3F2A77CA"/>
    <w:rsid w:val="3FC25C55"/>
    <w:rsid w:val="3FD249E5"/>
    <w:rsid w:val="40692863"/>
    <w:rsid w:val="41941726"/>
    <w:rsid w:val="42F247CE"/>
    <w:rsid w:val="46537335"/>
    <w:rsid w:val="481A3BB4"/>
    <w:rsid w:val="487B2E3B"/>
    <w:rsid w:val="49777048"/>
    <w:rsid w:val="49795C60"/>
    <w:rsid w:val="49A36D91"/>
    <w:rsid w:val="49AC34C0"/>
    <w:rsid w:val="4E516B22"/>
    <w:rsid w:val="532F207E"/>
    <w:rsid w:val="543704D7"/>
    <w:rsid w:val="56995541"/>
    <w:rsid w:val="56DA342C"/>
    <w:rsid w:val="5814657B"/>
    <w:rsid w:val="59657925"/>
    <w:rsid w:val="59976C19"/>
    <w:rsid w:val="5AE0243C"/>
    <w:rsid w:val="5C8D39F2"/>
    <w:rsid w:val="5E465A3C"/>
    <w:rsid w:val="5E8B5F88"/>
    <w:rsid w:val="5F2E484C"/>
    <w:rsid w:val="61315B49"/>
    <w:rsid w:val="65C60259"/>
    <w:rsid w:val="663A598E"/>
    <w:rsid w:val="695E5265"/>
    <w:rsid w:val="6A136F29"/>
    <w:rsid w:val="6A917936"/>
    <w:rsid w:val="6C233FD6"/>
    <w:rsid w:val="6DE71381"/>
    <w:rsid w:val="6FD57285"/>
    <w:rsid w:val="72D97B5A"/>
    <w:rsid w:val="73303E80"/>
    <w:rsid w:val="75CA03D9"/>
    <w:rsid w:val="77274014"/>
    <w:rsid w:val="77CB264C"/>
    <w:rsid w:val="79AE4579"/>
    <w:rsid w:val="7B525958"/>
    <w:rsid w:val="7D6B2A54"/>
    <w:rsid w:val="7DFC3B04"/>
    <w:rsid w:val="7E402F77"/>
    <w:rsid w:val="7E49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2394</Words>
  <Characters>2582</Characters>
  <Lines>0</Lines>
  <Paragraphs>0</Paragraphs>
  <TotalTime>2</TotalTime>
  <ScaleCrop>false</ScaleCrop>
  <LinksUpToDate>false</LinksUpToDate>
  <CharactersWithSpaces>2582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2022-04-25T03:42:00Z</dcterms:created>
  <dc:creator>招生办公室2号</dc:creator>
  <cp:lastModifiedBy>Administrator</cp:lastModifiedBy>
  <dcterms:modified xsi:type="dcterms:W3CDTF">2023-05-19T09:57:47Z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A96758DD84C44DC29774DEAA4F3AEB4C</vt:lpwstr>
  </property>
</Properties>
</file>